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C5" w:rsidRDefault="00AE76C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E76C5" w:rsidRDefault="00AE76C5">
      <w:pPr>
        <w:pStyle w:val="ConsPlusNormal"/>
        <w:jc w:val="both"/>
        <w:outlineLvl w:val="0"/>
      </w:pPr>
    </w:p>
    <w:p w:rsidR="00AE76C5" w:rsidRDefault="00AE76C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E76C5" w:rsidRDefault="00AE76C5">
      <w:pPr>
        <w:pStyle w:val="ConsPlusTitle"/>
        <w:jc w:val="center"/>
      </w:pPr>
    </w:p>
    <w:p w:rsidR="00AE76C5" w:rsidRDefault="00AE76C5">
      <w:pPr>
        <w:pStyle w:val="ConsPlusTitle"/>
        <w:jc w:val="center"/>
      </w:pPr>
      <w:r>
        <w:t>РАСПОРЯЖЕНИЕ</w:t>
      </w:r>
    </w:p>
    <w:p w:rsidR="00AE76C5" w:rsidRDefault="00AE76C5">
      <w:pPr>
        <w:pStyle w:val="ConsPlusTitle"/>
        <w:jc w:val="center"/>
      </w:pPr>
      <w:r>
        <w:t>от 2 сентября 2021 г. N 2424-р</w:t>
      </w:r>
    </w:p>
    <w:p w:rsidR="00AE76C5" w:rsidRDefault="00AE76C5">
      <w:pPr>
        <w:pStyle w:val="ConsPlusNormal"/>
        <w:jc w:val="both"/>
      </w:pPr>
    </w:p>
    <w:p w:rsidR="00AE76C5" w:rsidRDefault="00AE76C5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41" w:history="1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 xml:space="preserve">2. Реализация Национального </w:t>
      </w:r>
      <w:hyperlink w:anchor="P41" w:history="1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41" w:history="1">
        <w:r>
          <w:rPr>
            <w:color w:val="0000FF"/>
          </w:rPr>
          <w:t>плана</w:t>
        </w:r>
      </w:hyperlink>
      <w:r>
        <w:t>: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 xml:space="preserve">обеспечить реализацию Национального </w:t>
      </w:r>
      <w:hyperlink w:anchor="P41" w:history="1">
        <w:r>
          <w:rPr>
            <w:color w:val="0000FF"/>
          </w:rPr>
          <w:t>плана</w:t>
        </w:r>
      </w:hyperlink>
      <w:r>
        <w:t>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41" w:history="1">
        <w:r>
          <w:rPr>
            <w:color w:val="0000FF"/>
          </w:rPr>
          <w:t>плана</w:t>
        </w:r>
      </w:hyperlink>
      <w:r>
        <w:t>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4. ФАС России: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41" w:history="1">
        <w:r>
          <w:rPr>
            <w:color w:val="0000FF"/>
          </w:rPr>
          <w:t>плана</w:t>
        </w:r>
      </w:hyperlink>
      <w:r>
        <w:t>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41" w:history="1">
        <w:r>
          <w:rPr>
            <w:color w:val="0000FF"/>
          </w:rPr>
          <w:t>плана</w:t>
        </w:r>
      </w:hyperlink>
      <w:r>
        <w:t>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41" w:history="1">
        <w:r>
          <w:rPr>
            <w:color w:val="0000FF"/>
          </w:rPr>
          <w:t>плана</w:t>
        </w:r>
      </w:hyperlink>
      <w:r>
        <w:t>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в срок до 31 декабря 2025 г.: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lastRenderedPageBreak/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6. Рекомендовать органам местного самоуправления: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в срок до 31 декабря 2025 г. обеспечить приватизацию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AE76C5" w:rsidRDefault="00AE76C5">
      <w:pPr>
        <w:pStyle w:val="ConsPlusNormal"/>
        <w:jc w:val="both"/>
      </w:pPr>
    </w:p>
    <w:p w:rsidR="00AE76C5" w:rsidRDefault="00AE76C5">
      <w:pPr>
        <w:pStyle w:val="ConsPlusNormal"/>
        <w:jc w:val="right"/>
      </w:pPr>
      <w:r>
        <w:t>Председатель Правительства</w:t>
      </w:r>
    </w:p>
    <w:p w:rsidR="00AE76C5" w:rsidRDefault="00AE76C5">
      <w:pPr>
        <w:pStyle w:val="ConsPlusNormal"/>
        <w:jc w:val="right"/>
      </w:pPr>
      <w:r>
        <w:t>Российской Федерации</w:t>
      </w:r>
    </w:p>
    <w:p w:rsidR="00AE76C5" w:rsidRDefault="00AE76C5">
      <w:pPr>
        <w:pStyle w:val="ConsPlusNormal"/>
        <w:jc w:val="right"/>
      </w:pPr>
      <w:r>
        <w:t>М.МИШУСТИН</w:t>
      </w:r>
    </w:p>
    <w:p w:rsidR="00AE76C5" w:rsidRDefault="00AE76C5">
      <w:pPr>
        <w:pStyle w:val="ConsPlusNormal"/>
        <w:jc w:val="both"/>
      </w:pPr>
    </w:p>
    <w:p w:rsidR="00AE76C5" w:rsidRDefault="00AE76C5">
      <w:pPr>
        <w:pStyle w:val="ConsPlusNormal"/>
        <w:jc w:val="both"/>
      </w:pPr>
    </w:p>
    <w:p w:rsidR="00AE76C5" w:rsidRDefault="00AE76C5">
      <w:pPr>
        <w:pStyle w:val="ConsPlusNormal"/>
        <w:jc w:val="both"/>
      </w:pPr>
    </w:p>
    <w:p w:rsidR="00AE76C5" w:rsidRDefault="00AE76C5">
      <w:pPr>
        <w:pStyle w:val="ConsPlusNormal"/>
        <w:jc w:val="both"/>
      </w:pPr>
    </w:p>
    <w:p w:rsidR="00AE76C5" w:rsidRDefault="00AE76C5">
      <w:pPr>
        <w:pStyle w:val="ConsPlusNormal"/>
        <w:jc w:val="both"/>
      </w:pPr>
    </w:p>
    <w:p w:rsidR="00AE76C5" w:rsidRDefault="00AE76C5">
      <w:pPr>
        <w:pStyle w:val="ConsPlusNormal"/>
        <w:jc w:val="right"/>
        <w:outlineLvl w:val="0"/>
      </w:pPr>
      <w:r>
        <w:t>Утвержден</w:t>
      </w:r>
    </w:p>
    <w:p w:rsidR="00AE76C5" w:rsidRDefault="00AE76C5">
      <w:pPr>
        <w:pStyle w:val="ConsPlusNormal"/>
        <w:jc w:val="right"/>
      </w:pPr>
      <w:r>
        <w:t>распоряжением Правительства</w:t>
      </w:r>
    </w:p>
    <w:p w:rsidR="00AE76C5" w:rsidRDefault="00AE76C5">
      <w:pPr>
        <w:pStyle w:val="ConsPlusNormal"/>
        <w:jc w:val="right"/>
      </w:pPr>
      <w:r>
        <w:t>Российской Федерации</w:t>
      </w:r>
    </w:p>
    <w:p w:rsidR="00AE76C5" w:rsidRDefault="00AE76C5">
      <w:pPr>
        <w:pStyle w:val="ConsPlusNormal"/>
        <w:jc w:val="right"/>
      </w:pPr>
      <w:r>
        <w:t>от 2 сентября 2021 г. N 2424-р</w:t>
      </w:r>
    </w:p>
    <w:p w:rsidR="00AE76C5" w:rsidRDefault="00AE76C5">
      <w:pPr>
        <w:pStyle w:val="ConsPlusNormal"/>
        <w:jc w:val="both"/>
      </w:pPr>
    </w:p>
    <w:p w:rsidR="00AE76C5" w:rsidRDefault="00AE76C5">
      <w:pPr>
        <w:pStyle w:val="ConsPlusTitle"/>
        <w:jc w:val="center"/>
      </w:pPr>
      <w:bookmarkStart w:id="1" w:name="P41"/>
      <w:bookmarkEnd w:id="1"/>
      <w:r>
        <w:t>НАЦИОНАЛЬНЫЙ ПЛАН</w:t>
      </w:r>
    </w:p>
    <w:p w:rsidR="00AE76C5" w:rsidRDefault="00AE76C5">
      <w:pPr>
        <w:pStyle w:val="ConsPlusTitle"/>
        <w:jc w:val="center"/>
      </w:pPr>
      <w:r>
        <w:t>("ДОРОЖНАЯ КАРТА") РАЗВИТИЯ КОНКУРЕНЦИИ В РОССИЙСКОЙ</w:t>
      </w:r>
    </w:p>
    <w:p w:rsidR="00AE76C5" w:rsidRDefault="00AE76C5">
      <w:pPr>
        <w:pStyle w:val="ConsPlusTitle"/>
        <w:jc w:val="center"/>
      </w:pPr>
      <w:r>
        <w:t>ФЕДЕРАЦИИ НА 2021 - 2025 ГОДЫ</w:t>
      </w:r>
    </w:p>
    <w:p w:rsidR="00AE76C5" w:rsidRDefault="00AE76C5">
      <w:pPr>
        <w:pStyle w:val="ConsPlusNormal"/>
        <w:jc w:val="both"/>
      </w:pPr>
    </w:p>
    <w:p w:rsidR="00AE76C5" w:rsidRDefault="00AE76C5">
      <w:pPr>
        <w:pStyle w:val="ConsPlusTitle"/>
        <w:jc w:val="center"/>
        <w:outlineLvl w:val="1"/>
      </w:pPr>
      <w:r>
        <w:t>I. Оценка реализации государственной политики</w:t>
      </w:r>
    </w:p>
    <w:p w:rsidR="00AE76C5" w:rsidRDefault="00AE76C5">
      <w:pPr>
        <w:pStyle w:val="ConsPlusTitle"/>
        <w:jc w:val="center"/>
      </w:pPr>
      <w:r>
        <w:t>по развитию конкуренции</w:t>
      </w:r>
    </w:p>
    <w:p w:rsidR="00AE76C5" w:rsidRDefault="00AE76C5">
      <w:pPr>
        <w:pStyle w:val="ConsPlusNormal"/>
        <w:jc w:val="both"/>
      </w:pPr>
    </w:p>
    <w:p w:rsidR="00AE76C5" w:rsidRDefault="00040459">
      <w:pPr>
        <w:pStyle w:val="ConsPlusNormal"/>
        <w:ind w:firstLine="540"/>
        <w:jc w:val="both"/>
      </w:pPr>
      <w:hyperlink r:id="rId6" w:history="1">
        <w:r w:rsidR="00AE76C5">
          <w:rPr>
            <w:color w:val="0000FF"/>
          </w:rPr>
          <w:t>Указом</w:t>
        </w:r>
      </w:hyperlink>
      <w:r w:rsidR="00AE76C5"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сохранение населения, здоровье и благополучие людей;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возможности для самореализации и развития талантов;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комфортная и безопасная среда для жизни;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достойный, эффективный труд и успешное предпринимательство;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цифровая трансформация.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lastRenderedPageBreak/>
        <w:t>Достижение указанных национальных целей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 xml:space="preserve">21 декабря 2017 г. принят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8" w:history="1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 xml:space="preserve">Национальный план развития конкуренции в Российской Федерации на 2018 - 2020 годы, утвержденный </w:t>
      </w:r>
      <w:hyperlink r:id="rId9" w:history="1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 xml:space="preserve">Основные подходы к реализации </w:t>
      </w:r>
      <w:proofErr w:type="spellStart"/>
      <w:r>
        <w:t>проконкурентной</w:t>
      </w:r>
      <w:proofErr w:type="spellEnd"/>
      <w:r>
        <w:t xml:space="preserve"> политики в регионах Российской Федерации закреплены в </w:t>
      </w:r>
      <w:hyperlink r:id="rId10" w:history="1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11" w:history="1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AE76C5" w:rsidRDefault="00040459">
      <w:pPr>
        <w:pStyle w:val="ConsPlusNormal"/>
        <w:spacing w:before="220"/>
        <w:ind w:firstLine="540"/>
        <w:jc w:val="both"/>
      </w:pPr>
      <w:hyperlink r:id="rId12" w:history="1">
        <w:r w:rsidR="00AE76C5">
          <w:rPr>
            <w:color w:val="0000FF"/>
          </w:rPr>
          <w:t>Программа</w:t>
        </w:r>
      </w:hyperlink>
      <w:r w:rsidR="00AE76C5"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AE76C5" w:rsidRDefault="00040459">
      <w:pPr>
        <w:pStyle w:val="ConsPlusNormal"/>
        <w:spacing w:before="220"/>
        <w:ind w:firstLine="540"/>
        <w:jc w:val="both"/>
      </w:pPr>
      <w:hyperlink r:id="rId13" w:history="1">
        <w:r w:rsidR="00AE76C5">
          <w:rPr>
            <w:color w:val="0000FF"/>
          </w:rPr>
          <w:t>план</w:t>
        </w:r>
      </w:hyperlink>
      <w:r w:rsidR="00AE76C5"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14" w:history="1">
        <w:r>
          <w:rPr>
            <w:color w:val="0000FF"/>
          </w:rPr>
          <w:t>Указом</w:t>
        </w:r>
      </w:hyperlink>
      <w:r>
        <w:t xml:space="preserve"> N 618, </w:t>
      </w:r>
      <w:hyperlink r:id="rId15" w:history="1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 16 августа 2018 г. N 1697-р.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 xml:space="preserve">принят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на территории Российской Федерации отменен национальный и внутрисетевой роуминг;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 xml:space="preserve">в рамках усиления борьбы с картелями и иными </w:t>
      </w:r>
      <w:proofErr w:type="spellStart"/>
      <w:r>
        <w:t>антиконкурентными</w:t>
      </w:r>
      <w:proofErr w:type="spellEnd"/>
      <w:r>
        <w:t xml:space="preserve">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lastRenderedPageBreak/>
        <w:t>внедрен принцип ценового (тарифного) регулирования, стимулирующий организации к сокращению издержек;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введен метод предельного ценообразования на услуги общедоступной электросвязи и почтовой связи;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17" w:history="1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повышение удовлетворенности потребителей, в том числе за счет снижения цен. В результате отмены внутрисетевого роуминга экономия для потребителей составила порядка 6 млрд. рублей и одновременно возрос объем данных услуг связи;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обеспечение равного доступа к товарам и услугам субъектов естественных монополий. В частности, в результате принятия правил недискриминационного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Однако не все меры, предусмотренные программами, оказались достаточными для эффективного развития конкуренции.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Анализ глобальных экономических процессов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 xml:space="preserve">Еще одним вызовом как для российской экономики, так и для мировой экономики в целом стало распространение новой </w:t>
      </w:r>
      <w:proofErr w:type="spellStart"/>
      <w:r>
        <w:t>коронавирусной</w:t>
      </w:r>
      <w:proofErr w:type="spellEnd"/>
      <w:r>
        <w:t xml:space="preserve">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высокая доля государственного сектора в экономике;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 xml:space="preserve">монополизация рынков и их </w:t>
      </w:r>
      <w:proofErr w:type="spellStart"/>
      <w:r>
        <w:t>олигопольный</w:t>
      </w:r>
      <w:proofErr w:type="spellEnd"/>
      <w:r>
        <w:t xml:space="preserve"> характер;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недостаточная доля малых и средних предприятий в структуре экономики Российской Федерации;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lastRenderedPageBreak/>
        <w:t>сохраняющиеся ограничения доступа к инфраструктуре.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AE76C5" w:rsidRDefault="00AE76C5">
      <w:pPr>
        <w:pStyle w:val="ConsPlusNormal"/>
        <w:jc w:val="both"/>
      </w:pPr>
    </w:p>
    <w:p w:rsidR="00AE76C5" w:rsidRDefault="00AE76C5">
      <w:pPr>
        <w:pStyle w:val="ConsPlusTitle"/>
        <w:jc w:val="center"/>
        <w:outlineLvl w:val="1"/>
      </w:pPr>
      <w:r>
        <w:t>II. Задачи, ключевые показатели и ожидаемые результаты</w:t>
      </w:r>
    </w:p>
    <w:p w:rsidR="00AE76C5" w:rsidRDefault="00AE76C5">
      <w:pPr>
        <w:pStyle w:val="ConsPlusTitle"/>
        <w:jc w:val="center"/>
      </w:pPr>
      <w:r>
        <w:t>развития конкуренции</w:t>
      </w:r>
    </w:p>
    <w:p w:rsidR="00AE76C5" w:rsidRDefault="00AE76C5">
      <w:pPr>
        <w:pStyle w:val="ConsPlusNormal"/>
        <w:jc w:val="both"/>
      </w:pPr>
    </w:p>
    <w:p w:rsidR="00AE76C5" w:rsidRDefault="00AE76C5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развитие добросовестной конкуренции на товарных рынках;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:rsidR="00AE76C5" w:rsidRDefault="00AE76C5">
      <w:pPr>
        <w:pStyle w:val="ConsPlusNormal"/>
        <w:spacing w:before="220"/>
        <w:ind w:firstLine="540"/>
        <w:jc w:val="both"/>
      </w:pPr>
      <w:proofErr w:type="spellStart"/>
      <w:r>
        <w:t>дерегулирование</w:t>
      </w:r>
      <w:proofErr w:type="spellEnd"/>
      <w:r>
        <w:t xml:space="preserve">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развитие малого и среднего предпринимательства;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унификация и систематизация государственных и муниципальных преференций хозяйствующим субъектам;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замена мер государственного регулирования экономических отношений на меры экономического стимулирования;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обеспечение недискриминационного доступа к природным ресурсам;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 xml:space="preserve"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других товарных </w:t>
      </w:r>
      <w:proofErr w:type="spellStart"/>
      <w:r>
        <w:t>деривативов</w:t>
      </w:r>
      <w:proofErr w:type="spellEnd"/>
      <w:r>
        <w:t>, создание условий для реализации биржевых товаров на экспорт на российских биржах за рубли;</w:t>
      </w:r>
    </w:p>
    <w:p w:rsidR="00AE76C5" w:rsidRDefault="00AE76C5">
      <w:pPr>
        <w:pStyle w:val="ConsPlusNormal"/>
        <w:spacing w:before="220"/>
        <w:ind w:firstLine="540"/>
        <w:jc w:val="both"/>
      </w:pPr>
      <w:proofErr w:type="spellStart"/>
      <w:r>
        <w:lastRenderedPageBreak/>
        <w:t>цифровизация</w:t>
      </w:r>
      <w:proofErr w:type="spellEnd"/>
      <w:r>
        <w:t xml:space="preserve"> антимонопольного и тарифного регулирования;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AE76C5" w:rsidRDefault="00AE76C5">
      <w:pPr>
        <w:pStyle w:val="ConsPlusNormal"/>
        <w:spacing w:before="220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AE76C5" w:rsidRDefault="00AE76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37"/>
        <w:gridCol w:w="1276"/>
        <w:gridCol w:w="1417"/>
        <w:gridCol w:w="2356"/>
      </w:tblGrid>
      <w:tr w:rsidR="00AE76C5">
        <w:tc>
          <w:tcPr>
            <w:tcW w:w="4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76C5" w:rsidRDefault="00AE76C5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76C5" w:rsidRDefault="00AE76C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76C5" w:rsidRDefault="00AE76C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142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 </w:t>
            </w:r>
            <w:hyperlink w:anchor="P1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42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142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</w:t>
            </w:r>
            <w:r>
              <w:lastRenderedPageBreak/>
              <w:t xml:space="preserve">Правительства Российской Федерации от 23 января 2003 г. </w:t>
            </w:r>
            <w:hyperlink r:id="rId18" w:history="1">
              <w:r>
                <w:rPr>
                  <w:color w:val="0000FF"/>
                </w:rPr>
                <w:t>N 91-р</w:t>
              </w:r>
            </w:hyperlink>
            <w:r>
              <w:t xml:space="preserve"> и от 30 августа 2017 г. </w:t>
            </w:r>
            <w:hyperlink r:id="rId19" w:history="1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несостоявшимися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</w:t>
            </w:r>
            <w:r>
              <w:lastRenderedPageBreak/>
              <w:t xml:space="preserve">и реализации государственной политики в установленных сферах деятельности, указанных в </w:t>
            </w:r>
            <w:hyperlink w:anchor="P142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:rsidR="00AE76C5" w:rsidRDefault="00AE76C5">
      <w:pPr>
        <w:pStyle w:val="ConsPlusNormal"/>
        <w:jc w:val="both"/>
      </w:pPr>
    </w:p>
    <w:p w:rsidR="00AE76C5" w:rsidRDefault="00AE76C5">
      <w:pPr>
        <w:pStyle w:val="ConsPlusNormal"/>
        <w:ind w:firstLine="540"/>
        <w:jc w:val="both"/>
      </w:pPr>
      <w:r>
        <w:t>--------------------------------</w:t>
      </w:r>
    </w:p>
    <w:p w:rsidR="00AE76C5" w:rsidRDefault="00AE76C5">
      <w:pPr>
        <w:pStyle w:val="ConsPlusNormal"/>
        <w:spacing w:before="220"/>
        <w:ind w:firstLine="540"/>
        <w:jc w:val="both"/>
      </w:pPr>
      <w:bookmarkStart w:id="2" w:name="P140"/>
      <w:bookmarkEnd w:id="2"/>
      <w: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AE76C5" w:rsidRDefault="00AE76C5">
      <w:pPr>
        <w:pStyle w:val="ConsPlusNormal"/>
        <w:jc w:val="both"/>
      </w:pPr>
    </w:p>
    <w:p w:rsidR="00AE76C5" w:rsidRDefault="00AE76C5">
      <w:pPr>
        <w:pStyle w:val="ConsPlusNormal"/>
        <w:ind w:firstLine="540"/>
        <w:jc w:val="both"/>
      </w:pPr>
      <w:bookmarkStart w:id="3" w:name="P142"/>
      <w:bookmarkEnd w:id="3"/>
      <w:r>
        <w:t>3. Ожидаемые результаты развития конкуренции в отдельных отраслях (сферах) экономики (видах деятельности):</w:t>
      </w:r>
    </w:p>
    <w:p w:rsidR="00AE76C5" w:rsidRDefault="00AE76C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2211"/>
      </w:tblGrid>
      <w:tr w:rsidR="00AE76C5"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76C5" w:rsidRDefault="00AE76C5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На федеральном и региональном уровнях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Минсельхоз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Увеличено количество субъектов малого и среднего 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Минсельхоз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Минсельхоз России,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2. Информационные технологии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</w:t>
            </w:r>
            <w:r>
              <w:lastRenderedPageBreak/>
              <w:t>предусмотренных федеральными законами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proofErr w:type="spellStart"/>
            <w:r>
              <w:lastRenderedPageBreak/>
              <w:t>Минцифры</w:t>
            </w:r>
            <w:proofErr w:type="spellEnd"/>
            <w:r>
              <w:t xml:space="preserve">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lastRenderedPageBreak/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:rsidR="00AE76C5" w:rsidRDefault="00AE76C5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AE76C5" w:rsidRDefault="00AE76C5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Минобороны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ФСБ России,</w:t>
            </w:r>
          </w:p>
          <w:p w:rsidR="00AE76C5" w:rsidRDefault="00AE76C5">
            <w:pPr>
              <w:pStyle w:val="ConsPlusNormal"/>
            </w:pPr>
            <w:r>
              <w:t>ФСТЭК России,</w:t>
            </w:r>
          </w:p>
          <w:p w:rsidR="00AE76C5" w:rsidRDefault="00AE76C5">
            <w:pPr>
              <w:pStyle w:val="ConsPlusNormal"/>
            </w:pPr>
            <w:r>
              <w:t>Минфин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3. Сфера обращения твердых коммунальных отходов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Минприроды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Минфин России</w:t>
            </w:r>
          </w:p>
          <w:p w:rsidR="00AE76C5" w:rsidRDefault="00AE76C5">
            <w:pPr>
              <w:pStyle w:val="ConsPlusNormal"/>
            </w:pPr>
            <w:r>
              <w:t>при участии Банка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Обеспечено проведение открытых процедур отбора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населения, а также обеспечена возможность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Минфин России,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  <w:p w:rsidR="00AE76C5" w:rsidRDefault="00AE76C5">
            <w:pPr>
              <w:pStyle w:val="ConsPlusNormal"/>
            </w:pPr>
            <w:r>
              <w:t>при участии Банка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Минфин России</w:t>
            </w:r>
          </w:p>
          <w:p w:rsidR="00AE76C5" w:rsidRDefault="00AE76C5">
            <w:pPr>
              <w:pStyle w:val="ConsPlusNormal"/>
            </w:pPr>
            <w:r>
              <w:t>при участии Банка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5. Природные ресурсы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России,</w:t>
            </w:r>
          </w:p>
          <w:p w:rsidR="00AE76C5" w:rsidRDefault="00AE76C5">
            <w:pPr>
              <w:pStyle w:val="ConsPlusNormal"/>
            </w:pPr>
            <w:r>
              <w:t>Минприроды России,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6. Электроэнергетика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Минэнерго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Минэнерго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Минэнерго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:rsidR="00AE76C5" w:rsidRDefault="00AE76C5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AE76C5" w:rsidRDefault="00AE76C5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</w:t>
            </w:r>
            <w:proofErr w:type="spellStart"/>
            <w:r>
              <w:t>энергосбытовую</w:t>
            </w:r>
            <w:proofErr w:type="spellEnd"/>
            <w:r>
              <w:t xml:space="preserve"> деятельность) на розничном рынке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Обеспечена деятельность минимум одного независимого оператора, не входящего в группу лиц с оператором аэропорта, 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Минтранс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Железнодорожный транспорт: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Минтранс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Городской транспорт (автобусы):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Доля услуг (работ) по перевозке пассажиров автомобильным транспортом:</w:t>
            </w:r>
          </w:p>
          <w:p w:rsidR="00AE76C5" w:rsidRDefault="00AE76C5">
            <w:pPr>
              <w:pStyle w:val="ConsPlusNormal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AE76C5" w:rsidRDefault="00AE76C5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Минтранс России,</w:t>
            </w:r>
          </w:p>
          <w:p w:rsidR="00AE76C5" w:rsidRDefault="00AE76C5">
            <w:pPr>
              <w:pStyle w:val="ConsPlusNormal"/>
            </w:pPr>
            <w:r>
              <w:t>Минэкономразвития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8. Сфера образования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AE76C5" w:rsidRDefault="00AE76C5">
            <w:pPr>
              <w:pStyle w:val="ConsPlusNormal"/>
            </w:pPr>
            <w:r>
              <w:t>Минэкономразвития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AE76C5" w:rsidRDefault="00AE76C5">
            <w:pPr>
              <w:pStyle w:val="ConsPlusNormal"/>
            </w:pPr>
            <w:r>
              <w:t>1,6 процента на рынках дошкольного образования;</w:t>
            </w:r>
          </w:p>
          <w:p w:rsidR="00AE76C5" w:rsidRDefault="00AE76C5">
            <w:pPr>
              <w:pStyle w:val="ConsPlusNormal"/>
            </w:pPr>
            <w:r>
              <w:t>1 процента на рынках общего образования;</w:t>
            </w:r>
          </w:p>
          <w:p w:rsidR="00AE76C5" w:rsidRDefault="00AE76C5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На рынках лекарственных средств:</w:t>
            </w:r>
          </w:p>
          <w:p w:rsidR="00AE76C5" w:rsidRDefault="00AE76C5">
            <w:pPr>
              <w:pStyle w:val="ConsPlusNormal"/>
            </w:pPr>
            <w:r>
              <w:t>до 1 июля 2022 г. проведена работа по определению взаимозаменяемости лекарственных препаратов для не менее чем 50 процентов лекарственных препаратов,</w:t>
            </w:r>
          </w:p>
          <w:p w:rsidR="00AE76C5" w:rsidRDefault="00AE76C5">
            <w:pPr>
              <w:pStyle w:val="ConsPlusNormal"/>
            </w:pPr>
            <w:r>
              <w:t>до 31 декабря 2022 г. - для не менее чем 55 процентов лекарственных препаратов,</w:t>
            </w:r>
          </w:p>
          <w:p w:rsidR="00AE76C5" w:rsidRDefault="00AE76C5">
            <w:pPr>
              <w:pStyle w:val="ConsPlusNormal"/>
            </w:pPr>
            <w:r>
              <w:t>до 31 декабря 2023 г. - для не менее 60 процентов лекарственных препаратов,</w:t>
            </w:r>
          </w:p>
          <w:p w:rsidR="00AE76C5" w:rsidRDefault="00AE76C5">
            <w:pPr>
              <w:pStyle w:val="ConsPlusNormal"/>
            </w:pPr>
            <w:r>
              <w:t>до 31 декабря 2024 г. - для не менее 65 процентов лекарственных препаратов,</w:t>
            </w:r>
          </w:p>
          <w:p w:rsidR="00AE76C5" w:rsidRDefault="00AE76C5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Минздрав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Система возмещения стоимости лекарственного обеспечения внедрена:</w:t>
            </w:r>
          </w:p>
          <w:p w:rsidR="00AE76C5" w:rsidRDefault="00AE76C5">
            <w:pPr>
              <w:pStyle w:val="ConsPlusNormal"/>
            </w:pPr>
            <w:r>
              <w:t>в не менее чем 10 пилотных регионах - к 2023 году,</w:t>
            </w:r>
          </w:p>
          <w:p w:rsidR="00AE76C5" w:rsidRDefault="00AE76C5">
            <w:pPr>
              <w:pStyle w:val="ConsPlusNormal"/>
            </w:pPr>
            <w:r>
              <w:t>во всех регионах - к 2025 году при условии выделения достаточных средств на пилотный проект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Минздрав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Доля организаций частной формы собственности составляет:</w:t>
            </w:r>
          </w:p>
          <w:p w:rsidR="00AE76C5" w:rsidRDefault="00AE76C5">
            <w:pPr>
              <w:pStyle w:val="ConsPlusNormal"/>
            </w:pPr>
            <w:r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AE76C5" w:rsidRDefault="00AE76C5">
            <w:pPr>
              <w:pStyle w:val="ConsPlusNormal"/>
            </w:pPr>
            <w: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Минздрав России,</w:t>
            </w:r>
          </w:p>
          <w:p w:rsidR="00AE76C5" w:rsidRDefault="00AE76C5">
            <w:pPr>
              <w:pStyle w:val="ConsPlusNormal"/>
            </w:pPr>
            <w:r>
              <w:t>Минэкономразвития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10. Ритуальные услуги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В субъектах Российской Федерации созданы и размещены на </w:t>
            </w:r>
            <w:r>
              <w:lastRenderedPageBreak/>
              <w:t>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:rsidR="00AE76C5" w:rsidRDefault="00AE76C5">
            <w:pPr>
              <w:pStyle w:val="ConsPlusNormal"/>
            </w:pPr>
            <w:r>
              <w:t>в отношении 20 процентов общего количества существующих кладбищ - до 31 декабря 2023 г.;</w:t>
            </w:r>
          </w:p>
          <w:p w:rsidR="00AE76C5" w:rsidRDefault="00AE76C5">
            <w:pPr>
              <w:pStyle w:val="ConsPlusNormal"/>
            </w:pPr>
            <w:r>
              <w:t>в отношении 50 процентов общего количества существующих кладбищ - до 31 декабря 2024 г.;</w:t>
            </w:r>
          </w:p>
          <w:p w:rsidR="00AE76C5" w:rsidRDefault="00AE76C5">
            <w:pPr>
              <w:pStyle w:val="ConsPlusNormal"/>
            </w:pPr>
            <w:r>
              <w:t>в отношении всех существующих кладбищ - до 31 декабря 2025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lastRenderedPageBreak/>
              <w:t>Минстрой России,</w:t>
            </w:r>
          </w:p>
          <w:p w:rsidR="00AE76C5" w:rsidRDefault="00AE76C5">
            <w:pPr>
              <w:pStyle w:val="ConsPlusNormal"/>
            </w:pPr>
            <w:proofErr w:type="spellStart"/>
            <w:r>
              <w:lastRenderedPageBreak/>
              <w:t>Минцифры</w:t>
            </w:r>
            <w:proofErr w:type="spellEnd"/>
            <w:r>
              <w:t xml:space="preserve"> России,</w:t>
            </w:r>
          </w:p>
          <w:p w:rsidR="00AE76C5" w:rsidRDefault="00AE76C5">
            <w:pPr>
              <w:pStyle w:val="ConsPlusNormal"/>
            </w:pPr>
            <w:r>
              <w:t>Минэкономразвития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lastRenderedPageBreak/>
              <w:t>В субъектах Российской Федерации до 1 сентября 2023 г.:</w:t>
            </w:r>
          </w:p>
          <w:p w:rsidR="00AE76C5" w:rsidRDefault="00AE76C5">
            <w:pPr>
              <w:pStyle w:val="ConsPlusNormal"/>
            </w:pPr>
            <w:r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похорон;</w:t>
            </w:r>
          </w:p>
          <w:p w:rsidR="00AE76C5" w:rsidRDefault="00AE76C5">
            <w:pPr>
              <w:pStyle w:val="ConsPlusNormal"/>
            </w:pPr>
            <w:r>
              <w:t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Минстрой России, </w:t>
            </w: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AE76C5" w:rsidRDefault="00AE76C5">
            <w:pPr>
              <w:pStyle w:val="ConsPlusNormal"/>
            </w:pPr>
            <w:r>
              <w:t>Минэкономразвития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Обеспечено оказание ритуальных услуг по принципу "одного окна"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Минстрой России,</w:t>
            </w:r>
          </w:p>
          <w:p w:rsidR="00AE76C5" w:rsidRDefault="00AE76C5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AE76C5" w:rsidRDefault="00AE76C5">
            <w:pPr>
              <w:pStyle w:val="ConsPlusNormal"/>
            </w:pPr>
            <w:r>
              <w:t>Минэкономразвития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11. Энергетика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Газ: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Минэнерго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Минэнерго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Минфин России,</w:t>
            </w:r>
          </w:p>
          <w:p w:rsidR="00AE76C5" w:rsidRDefault="00AE76C5">
            <w:pPr>
              <w:pStyle w:val="ConsPlusNormal"/>
            </w:pPr>
            <w:r>
              <w:t>ФНС России,</w:t>
            </w:r>
          </w:p>
          <w:p w:rsidR="00AE76C5" w:rsidRDefault="00AE76C5">
            <w:pPr>
              <w:pStyle w:val="ConsPlusNormal"/>
            </w:pPr>
            <w:r>
              <w:t>Минэнерго России,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20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Минэнерго России,</w:t>
            </w:r>
          </w:p>
          <w:p w:rsidR="00AE76C5" w:rsidRDefault="00AE76C5">
            <w:pPr>
              <w:pStyle w:val="ConsPlusNormal"/>
            </w:pPr>
            <w:r>
              <w:t>Минстрой России,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lastRenderedPageBreak/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Минэкономразвития России,</w:t>
            </w:r>
          </w:p>
          <w:p w:rsidR="00AE76C5" w:rsidRDefault="00AE76C5">
            <w:pPr>
              <w:pStyle w:val="ConsPlusNormal"/>
            </w:pPr>
            <w:r>
              <w:t>Минэнерго России,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Минэкономразвития России,</w:t>
            </w:r>
          </w:p>
          <w:p w:rsidR="00AE76C5" w:rsidRDefault="00AE76C5">
            <w:pPr>
              <w:pStyle w:val="ConsPlusNormal"/>
            </w:pPr>
            <w:r>
              <w:t>Минэнерго России,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Минэнерго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Минэнерго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Минэнерго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Минэнерго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Минэнерго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Минфин России,</w:t>
            </w:r>
          </w:p>
          <w:p w:rsidR="00AE76C5" w:rsidRDefault="00AE76C5">
            <w:pPr>
              <w:pStyle w:val="ConsPlusNormal"/>
            </w:pPr>
            <w:r>
              <w:t>ФНС России,</w:t>
            </w:r>
          </w:p>
          <w:p w:rsidR="00AE76C5" w:rsidRDefault="00AE76C5">
            <w:pPr>
              <w:pStyle w:val="ConsPlusNormal"/>
            </w:pPr>
            <w:r>
              <w:t>Минэнерго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Минэнерго России</w:t>
            </w:r>
          </w:p>
          <w:p w:rsidR="00AE76C5" w:rsidRDefault="00AE76C5">
            <w:pPr>
              <w:pStyle w:val="ConsPlusNormal"/>
            </w:pPr>
            <w:r>
              <w:t>совместно с заинтересованными федеральными органами исполнительной власти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Минфин России,</w:t>
            </w:r>
          </w:p>
          <w:p w:rsidR="00AE76C5" w:rsidRDefault="00AE76C5">
            <w:pPr>
              <w:pStyle w:val="ConsPlusNormal"/>
            </w:pPr>
            <w:r>
              <w:t>ФНС России,</w:t>
            </w:r>
          </w:p>
          <w:p w:rsidR="00AE76C5" w:rsidRDefault="00AE76C5">
            <w:pPr>
              <w:pStyle w:val="ConsPlusNormal"/>
            </w:pPr>
            <w:r>
              <w:t>Минэнерго России,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Минэнерго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12. Химическая промышленность и нефтегазохимическая промышленность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lastRenderedPageBreak/>
              <w:t xml:space="preserve"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сегменте, составляет для парафинов, </w:t>
            </w:r>
            <w:proofErr w:type="spellStart"/>
            <w:r>
              <w:t>ортоксилола</w:t>
            </w:r>
            <w:proofErr w:type="spellEnd"/>
            <w:r>
              <w:t>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</w:t>
            </w:r>
          </w:p>
          <w:p w:rsidR="00AE76C5" w:rsidRDefault="00AE76C5">
            <w:pPr>
              <w:pStyle w:val="ConsPlusNormal"/>
            </w:pPr>
            <w:r>
              <w:t>Минэнерго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Расширена номенклатура химической и нефтегазохимической продукции, реализуемой на организованных торгах с учетом спроса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Минэнерго России,</w:t>
            </w:r>
          </w:p>
          <w:p w:rsidR="00AE76C5" w:rsidRDefault="00AE76C5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Сформированы ликвидные биржевые и внебиржевые индикаторы цен на минеральные удобрения, парафины, </w:t>
            </w:r>
            <w:proofErr w:type="spellStart"/>
            <w:r>
              <w:t>ортоксилол</w:t>
            </w:r>
            <w:proofErr w:type="spellEnd"/>
            <w:r>
              <w:t>, толуол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Минэнерго России,</w:t>
            </w:r>
          </w:p>
          <w:p w:rsidR="00AE76C5" w:rsidRDefault="00AE76C5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13. Строительство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Минстрой России,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Минстрой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Увеличено количество нестационарных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</w:t>
            </w:r>
          </w:p>
          <w:p w:rsidR="00AE76C5" w:rsidRDefault="00AE76C5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15. Лесной комплекс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Минприроды России,</w:t>
            </w:r>
          </w:p>
          <w:p w:rsidR="00AE76C5" w:rsidRDefault="00AE76C5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Минприроды России,</w:t>
            </w:r>
          </w:p>
          <w:p w:rsidR="00AE76C5" w:rsidRDefault="00AE76C5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6C5" w:rsidRDefault="00AE76C5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Минфин России,</w:t>
            </w:r>
          </w:p>
          <w:p w:rsidR="00AE76C5" w:rsidRDefault="00AE76C5">
            <w:pPr>
              <w:pStyle w:val="ConsPlusNormal"/>
            </w:pPr>
            <w:r>
              <w:t>ФНС России,</w:t>
            </w:r>
          </w:p>
          <w:p w:rsidR="00AE76C5" w:rsidRDefault="00AE76C5">
            <w:pPr>
              <w:pStyle w:val="ConsPlusNormal"/>
            </w:pPr>
            <w:r>
              <w:t>Минприроды России,</w:t>
            </w:r>
          </w:p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</w:tbl>
    <w:p w:rsidR="00AE76C5" w:rsidRDefault="00AE76C5">
      <w:pPr>
        <w:pStyle w:val="ConsPlusNormal"/>
        <w:jc w:val="both"/>
      </w:pPr>
    </w:p>
    <w:p w:rsidR="00AE76C5" w:rsidRDefault="00AE76C5">
      <w:pPr>
        <w:pStyle w:val="ConsPlusTitle"/>
        <w:jc w:val="center"/>
        <w:outlineLvl w:val="1"/>
      </w:pPr>
      <w:r>
        <w:t>III. Мероприятия Национального плана</w:t>
      </w:r>
    </w:p>
    <w:p w:rsidR="00AE76C5" w:rsidRDefault="00AE76C5">
      <w:pPr>
        <w:pStyle w:val="ConsPlusNormal"/>
        <w:jc w:val="both"/>
      </w:pPr>
    </w:p>
    <w:p w:rsidR="00AE76C5" w:rsidRDefault="00AE76C5">
      <w:pPr>
        <w:sectPr w:rsidR="00AE76C5" w:rsidSect="003324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1701"/>
        <w:gridCol w:w="1984"/>
        <w:gridCol w:w="2324"/>
      </w:tblGrid>
      <w:tr w:rsidR="00AE76C5">
        <w:tc>
          <w:tcPr>
            <w:tcW w:w="5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6C5" w:rsidRDefault="00AE76C5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E76C5" w:rsidRDefault="00AE76C5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Минфин России,</w:t>
            </w:r>
          </w:p>
          <w:p w:rsidR="00AE76C5" w:rsidRDefault="00AE76C5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июля 2022 г.</w:t>
            </w:r>
          </w:p>
          <w:p w:rsidR="00AE76C5" w:rsidRDefault="00AE76C5">
            <w:pPr>
              <w:pStyle w:val="ConsPlusNormal"/>
              <w:jc w:val="center"/>
            </w:pPr>
            <w:r>
              <w:t>31 декабря 2022 г.</w:t>
            </w:r>
          </w:p>
          <w:p w:rsidR="00AE76C5" w:rsidRDefault="00AE76C5">
            <w:pPr>
              <w:pStyle w:val="ConsPlusNormal"/>
              <w:jc w:val="center"/>
            </w:pPr>
            <w:r>
              <w:t>31 декабря 2023 г.</w:t>
            </w:r>
          </w:p>
          <w:p w:rsidR="00AE76C5" w:rsidRDefault="00AE76C5">
            <w:pPr>
              <w:pStyle w:val="ConsPlusNormal"/>
              <w:jc w:val="center"/>
            </w:pPr>
            <w:r>
              <w:t>31 декабря 2024 г.</w:t>
            </w:r>
          </w:p>
          <w:p w:rsidR="00AE76C5" w:rsidRDefault="00AE76C5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Минздрав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Утверждение концепции развития оптовых продовольственных рынков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распоряжение Правительства Российской </w:t>
            </w:r>
            <w:r>
              <w:lastRenderedPageBreak/>
              <w:t>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AE76C5" w:rsidRDefault="00AE76C5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AE76C5" w:rsidRDefault="00AE76C5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:rsidR="00AE76C5" w:rsidRDefault="00AE76C5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AE76C5" w:rsidRDefault="00AE76C5">
            <w:pPr>
              <w:pStyle w:val="ConsPlusNormal"/>
            </w:pPr>
            <w:r>
              <w:t>по формированию системы национальных рыночных индикаторов цен на ключевые группы товаров с учетом биржевых цен, формируемых в том числе на международных и зарубежных организованных биржевых торгах;</w:t>
            </w:r>
          </w:p>
          <w:p w:rsidR="00AE76C5" w:rsidRDefault="00AE76C5">
            <w:pPr>
              <w:pStyle w:val="ConsPlusNormal"/>
            </w:pPr>
            <w:r>
              <w:t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конкуренции производителей в рамках одного биржевого инструмента;</w:t>
            </w:r>
          </w:p>
          <w:p w:rsidR="00AE76C5" w:rsidRDefault="00AE76C5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AE76C5" w:rsidRDefault="00AE76C5">
            <w:pPr>
              <w:pStyle w:val="ConsPlusNormal"/>
            </w:pPr>
            <w:r>
              <w:t xml:space="preserve">по привлечению на уровне субъектов Российской Федерации к организованным </w:t>
            </w:r>
            <w:r>
              <w:lastRenderedPageBreak/>
              <w:t>торгам мелким оптом всех производителей, функционирующих в каждом из субъектов Российской Федерации;</w:t>
            </w:r>
          </w:p>
          <w:p w:rsidR="00AE76C5" w:rsidRDefault="00AE76C5">
            <w:pPr>
              <w:pStyle w:val="ConsPlusNormal"/>
            </w:pPr>
            <w:r>
              <w:t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спот-торгов, а также цен экспортной альтернативы (</w:t>
            </w:r>
            <w:proofErr w:type="spellStart"/>
            <w:r>
              <w:t>нетбэк</w:t>
            </w:r>
            <w:proofErr w:type="spellEnd"/>
            <w:r>
              <w:t>) и иной ценовой информации зарубежных рынков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Минэнерго России,</w:t>
            </w:r>
          </w:p>
          <w:p w:rsidR="00AE76C5" w:rsidRDefault="00AE76C5">
            <w:pPr>
              <w:pStyle w:val="ConsPlusNormal"/>
            </w:pPr>
            <w:r>
              <w:t>Минфин России,</w:t>
            </w:r>
          </w:p>
          <w:p w:rsidR="00AE76C5" w:rsidRDefault="00AE76C5">
            <w:pPr>
              <w:pStyle w:val="ConsPlusNormal"/>
            </w:pPr>
            <w:r>
              <w:t>ФНС России,</w:t>
            </w:r>
          </w:p>
          <w:p w:rsidR="00AE76C5" w:rsidRDefault="00AE76C5">
            <w:pPr>
              <w:pStyle w:val="ConsPlusNormal"/>
            </w:pPr>
            <w:r>
              <w:t>Минэкономразвития России</w:t>
            </w:r>
          </w:p>
          <w:p w:rsidR="00AE76C5" w:rsidRDefault="00AE76C5">
            <w:pPr>
              <w:pStyle w:val="ConsPlusNormal"/>
            </w:pPr>
            <w:r>
              <w:t>при участии Банка России и</w:t>
            </w:r>
          </w:p>
          <w:p w:rsidR="00AE76C5" w:rsidRDefault="00AE76C5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AE76C5" w:rsidRDefault="00AE76C5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:rsidR="00AE76C5" w:rsidRDefault="00AE76C5">
            <w:pPr>
              <w:pStyle w:val="ConsPlusNormal"/>
            </w:pPr>
            <w:r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AE76C5" w:rsidRDefault="00AE76C5">
            <w:pPr>
              <w:pStyle w:val="ConsPlusNormal"/>
            </w:pPr>
            <w:r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AE76C5" w:rsidRDefault="00AE76C5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</w:t>
            </w:r>
            <w:proofErr w:type="spellStart"/>
            <w:r>
              <w:t>мультисервисных</w:t>
            </w:r>
            <w:proofErr w:type="spellEnd"/>
            <w:r>
              <w:t xml:space="preserve"> платформ), в том числе иностранных экосистем;</w:t>
            </w:r>
          </w:p>
          <w:p w:rsidR="00AE76C5" w:rsidRDefault="00AE76C5">
            <w:pPr>
              <w:pStyle w:val="ConsPlusNormal"/>
            </w:pPr>
            <w:r>
              <w:t xml:space="preserve">развитие института ответственности органов государственной власти за действия, </w:t>
            </w:r>
            <w:r>
              <w:lastRenderedPageBreak/>
              <w:t>искажающие конкурентное поле финансового рынка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Минфин России</w:t>
            </w:r>
          </w:p>
          <w:p w:rsidR="00AE76C5" w:rsidRDefault="00AE76C5">
            <w:pPr>
              <w:pStyle w:val="ConsPlusNormal"/>
            </w:pPr>
            <w:r>
              <w:t>при участии Банка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Утверждение по согласованию с Российской академией наук плана мероприятий ("дорожной карты") развития конкуренции в сфере науки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сентября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Минфин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 несостоятельности (банкротстве)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Минфин России,</w:t>
            </w:r>
          </w:p>
          <w:p w:rsidR="00AE76C5" w:rsidRDefault="00AE76C5">
            <w:pPr>
              <w:pStyle w:val="ConsPlusNormal"/>
            </w:pPr>
            <w:r>
              <w:t>Минюст России,</w:t>
            </w:r>
          </w:p>
          <w:p w:rsidR="00AE76C5" w:rsidRDefault="00AE76C5">
            <w:pPr>
              <w:pStyle w:val="ConsPlusNormal"/>
            </w:pPr>
            <w:r>
              <w:t>Минэкономразвития России,</w:t>
            </w:r>
          </w:p>
          <w:p w:rsidR="00AE76C5" w:rsidRDefault="00AE76C5">
            <w:pPr>
              <w:pStyle w:val="ConsPlusNormal"/>
            </w:pPr>
            <w:r>
              <w:t>Минприроды России,</w:t>
            </w:r>
          </w:p>
          <w:p w:rsidR="00AE76C5" w:rsidRDefault="00AE76C5">
            <w:pPr>
              <w:pStyle w:val="ConsPlusNormal"/>
            </w:pPr>
            <w:r>
              <w:t>Казначейство России,</w:t>
            </w:r>
          </w:p>
          <w:p w:rsidR="00AE76C5" w:rsidRDefault="00AE76C5">
            <w:pPr>
              <w:pStyle w:val="ConsPlusNormal"/>
            </w:pPr>
            <w:proofErr w:type="spellStart"/>
            <w:r>
              <w:t>Росреестр</w:t>
            </w:r>
            <w:proofErr w:type="spellEnd"/>
            <w:r>
              <w:t>,</w:t>
            </w:r>
          </w:p>
          <w:p w:rsidR="00AE76C5" w:rsidRDefault="00AE76C5">
            <w:pPr>
              <w:pStyle w:val="ConsPlusNormal"/>
            </w:pPr>
            <w:r>
              <w:t>Минсельхоз России,</w:t>
            </w:r>
          </w:p>
          <w:p w:rsidR="00AE76C5" w:rsidRDefault="00AE76C5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Разработка комплекса мер, направленных на </w:t>
            </w:r>
            <w:r>
              <w:lastRenderedPageBreak/>
              <w:t>обеспечение недискриминационного доступа к природным ресурсам, включающих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Минприроды России,</w:t>
            </w:r>
          </w:p>
          <w:p w:rsidR="00AE76C5" w:rsidRDefault="00AE76C5">
            <w:pPr>
              <w:pStyle w:val="ConsPlusNormal"/>
            </w:pPr>
            <w:r>
              <w:t>Минэкономразвития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/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расширение доступа организациям, обладающим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31 декабря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России,</w:t>
            </w:r>
          </w:p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Минприроды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Разработка и утверждение (с обеспечением финансирования за счет средств федерального бюджета) комплекса мероприятий, направленных на формирование информационного пространства в сферах антимонопольного регулирования, государственного регулирования цен (тарифов), контроля экономической концентрации, в сфере осуществления торговой деятельности с определением возможности интеграции с региональными и муниципальными информационными системами, включающего в том числе следующие мероприятия:</w:t>
            </w:r>
          </w:p>
          <w:p w:rsidR="00AE76C5" w:rsidRDefault="00AE76C5">
            <w:pPr>
              <w:pStyle w:val="ConsPlusNormal"/>
            </w:pPr>
            <w:r>
              <w:t xml:space="preserve">обеспечение информационного взаимодействия органов регулирования с регулируемыми субъектами через единую </w:t>
            </w:r>
            <w:r>
              <w:lastRenderedPageBreak/>
              <w:t>централизованную информационно-аналитическую систему;</w:t>
            </w:r>
          </w:p>
          <w:p w:rsidR="00AE76C5" w:rsidRDefault="00AE76C5">
            <w:pPr>
              <w:pStyle w:val="ConsPlusNormal"/>
            </w:pPr>
            <w:r>
              <w:t>создание "личных кабинетов" для регулируемых субъектов, обеспечивающих возможность информационного обмена с антимонопольным органом, включая подачу ходатайств и уведомлений о совершении сделок и иных действий, подлежащих государственному контролю за экономической концентрацией, и получение результатов их рассмотрения в электронном виде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обеспечивающего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Минэкономразвития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Минэнерго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Обеспечение создания единой государственной системы учета государственных и муниципальных преференций, предоставляемых в соответствии с Федеральным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защите конкуренции", обеспечивающей оценку их эффективности, ведение единого реестра </w:t>
            </w:r>
            <w:r>
              <w:lastRenderedPageBreak/>
              <w:t>государственных и муниципальных преференций, оказываемых хозяйствующим субъектам, в том числе субъектам малого и среднего предпринимательства,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lastRenderedPageBreak/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Минэнерго России</w:t>
            </w:r>
          </w:p>
          <w:p w:rsidR="00AE76C5" w:rsidRDefault="00AE76C5">
            <w:pPr>
              <w:pStyle w:val="ConsPlusNormal"/>
            </w:pPr>
            <w:r>
              <w:t>при участии Банка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Минэнерго России</w:t>
            </w:r>
          </w:p>
          <w:p w:rsidR="00AE76C5" w:rsidRDefault="00AE76C5">
            <w:pPr>
              <w:pStyle w:val="ConsPlusNormal"/>
            </w:pPr>
            <w:r>
              <w:t>при участии Банка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</w:t>
            </w:r>
            <w:proofErr w:type="spellStart"/>
            <w:r>
              <w:t>цифровизации</w:t>
            </w:r>
            <w:proofErr w:type="spellEnd"/>
            <w:r>
              <w:t xml:space="preserve"> неконкурентных практик участников торгов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Минэнерго России</w:t>
            </w:r>
          </w:p>
          <w:p w:rsidR="00AE76C5" w:rsidRDefault="00AE76C5">
            <w:pPr>
              <w:pStyle w:val="ConsPlusNormal"/>
            </w:pPr>
            <w:r>
              <w:t>Минэкономразвития России</w:t>
            </w:r>
          </w:p>
          <w:p w:rsidR="00AE76C5" w:rsidRDefault="00AE76C5">
            <w:pPr>
              <w:pStyle w:val="ConsPlusNormal"/>
            </w:pPr>
            <w:r>
              <w:t>при участии Банка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Разработка и утверждение плана мероприятий по развитию сотрудничества стран БРИКС по 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</w:t>
            </w:r>
          </w:p>
          <w:p w:rsidR="00AE76C5" w:rsidRDefault="00AE76C5">
            <w:pPr>
              <w:pStyle w:val="ConsPlusNormal"/>
            </w:pPr>
            <w:r>
              <w:t>при участии Банка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22" w:history="1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Минфин России,</w:t>
            </w:r>
          </w:p>
          <w:p w:rsidR="00AE76C5" w:rsidRDefault="00AE76C5">
            <w:pPr>
              <w:pStyle w:val="ConsPlusNormal"/>
            </w:pPr>
            <w:r>
              <w:t>Минэкономразвития России,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Обеспечение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является товар, и включенных в стратегические направления развития Евразийской экономической </w:t>
            </w:r>
            <w:r>
              <w:lastRenderedPageBreak/>
              <w:t>интеграции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Минэкономразвития России</w:t>
            </w:r>
          </w:p>
          <w:p w:rsidR="00AE76C5" w:rsidRDefault="00AE76C5">
            <w:pPr>
              <w:pStyle w:val="ConsPlusNormal"/>
            </w:pPr>
            <w:r>
              <w:t>при участии Банка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Установление единого порядка подачи и 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Минстрой России,</w:t>
            </w:r>
          </w:p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Минэнерго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Разработка методики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Минэкономразвития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Определение порядка функционирования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сфере, включая формирование и ведение в данной системе каталога товаров (работ, услуг) для государственных нужд по государственному оборонному заказу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федеральный закон,</w:t>
            </w:r>
          </w:p>
          <w:p w:rsidR="00AE76C5" w:rsidRDefault="00AE76C5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июля 2023 г.,</w:t>
            </w:r>
          </w:p>
          <w:p w:rsidR="00AE76C5" w:rsidRDefault="00AE76C5">
            <w:pPr>
              <w:pStyle w:val="ConsPlusNormal"/>
              <w:jc w:val="center"/>
            </w:pPr>
            <w:r>
              <w:t>6 месяцев с момента вступления в силу федерального закона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Минфин России,</w:t>
            </w:r>
          </w:p>
          <w:p w:rsidR="00AE76C5" w:rsidRDefault="00AE76C5">
            <w:pPr>
              <w:pStyle w:val="ConsPlusNormal"/>
            </w:pPr>
            <w:r>
              <w:t>Минобороны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Обеспечение правового регулирования, предусматривающего унификацию и систематизацию государственных и муниципальных преференций, предоставляемых путем передачи государственного или муниципального </w:t>
            </w:r>
            <w:r>
              <w:lastRenderedPageBreak/>
              <w:t>имущества, иных объектов гражданских прав либо путем предоставления имущественных льгот, государственных или муниципальных гарантий, в том числе порядка их предоставления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Обеспечение внесения изменений в </w:t>
            </w:r>
            <w:hyperlink r:id="rId23" w:history="1">
              <w:r>
                <w:rPr>
                  <w:color w:val="0000FF"/>
                </w:rPr>
                <w:t>Кодекс</w:t>
              </w:r>
            </w:hyperlink>
            <w:r>
              <w:t xml:space="preserve"> административного судопроизводства Российской Федерации и Арбитражный процессуальный </w:t>
            </w:r>
            <w:hyperlink r:id="rId24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закрепляющих подсудность решений об установлении (изменении) регулируемых цен (тарифов) арбитражным судам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Обеспечение введения ограничений на совершение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Минфин России</w:t>
            </w:r>
          </w:p>
          <w:p w:rsidR="00AE76C5" w:rsidRDefault="00AE76C5">
            <w:pPr>
              <w:pStyle w:val="ConsPlusNormal"/>
            </w:pPr>
            <w:r>
              <w:t>при участии Банка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Установление единых подходов и принципов пропорционального доступа финансовых организаций к получению средств бюджетов различных уровней, а также предоставлению </w:t>
            </w:r>
            <w:r>
              <w:lastRenderedPageBreak/>
              <w:t>банковских гарантий в зависимости от присвоенного уровня кредитного рейтинга по национальной рейтинговой шкале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Минфин России,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  <w:p w:rsidR="00AE76C5" w:rsidRDefault="00AE76C5">
            <w:pPr>
              <w:pStyle w:val="ConsPlusNormal"/>
            </w:pPr>
            <w:r>
              <w:t>при участии Банка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Установление исключительно заявительного порядка участия финансовых организаций в программах субсидирования из средств бюджета при соответствии таких организаций общим требованиям к получателям субсидий, закрепленным Правительством Российской Федерации, запрета на адресное (индивидуальное) субсидирование финансовых организаций на конкурентных рынках, а также приоритета выплаты государством субсидий по факту оказания финансовой услуги на льготных условиях либо распределения средств государственной поддержки исходя из установленных Правительством Российской Федерации максимальных квот на одну финансовую организацию - участника программы субсидирования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Минфин России,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  <w:p w:rsidR="00AE76C5" w:rsidRDefault="00AE76C5">
            <w:pPr>
              <w:pStyle w:val="ConsPlusNormal"/>
            </w:pPr>
            <w:r>
              <w:t>при участии Банка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Введение ограничений на осуществление финансовыми организациями (их группами лиц), активы (суммарные активы финансовых организаций, входящих в одну группу лиц) которых превышают величину, установленную Правительством Российской Федерации по согласованию с Банком России, сделок экономической концентрации в отношении нефинансовых организаций, в том числе путем установления возможности определения Правительством Российской Федерации по согласованию с Банком России допустимого </w:t>
            </w:r>
            <w:r>
              <w:lastRenderedPageBreak/>
              <w:t>срока владения акциями (долями), активами таких нефинансовых организаций,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Минфин России</w:t>
            </w:r>
          </w:p>
          <w:p w:rsidR="00AE76C5" w:rsidRDefault="00AE76C5">
            <w:pPr>
              <w:pStyle w:val="ConsPlusNormal"/>
            </w:pPr>
            <w:r>
              <w:t>при участии Банка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Минстрой России,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Закрепление на законодательном уровне обязанности по совершению сделок, предусматривающих переход прав владения, 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Минфин России,</w:t>
            </w:r>
          </w:p>
          <w:p w:rsidR="00AE76C5" w:rsidRDefault="00AE76C5">
            <w:pPr>
              <w:pStyle w:val="ConsPlusNormal"/>
            </w:pPr>
            <w:r>
              <w:t>Минэкономразвития России,</w:t>
            </w:r>
          </w:p>
          <w:p w:rsidR="00AE76C5" w:rsidRDefault="00AE76C5">
            <w:pPr>
              <w:pStyle w:val="ConsPlusNormal"/>
            </w:pPr>
            <w:r>
              <w:t>Казначейство России,</w:t>
            </w:r>
          </w:p>
          <w:p w:rsidR="00AE76C5" w:rsidRDefault="00AE76C5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Минстрой России,</w:t>
            </w:r>
          </w:p>
          <w:p w:rsidR="00AE76C5" w:rsidRDefault="00AE76C5">
            <w:pPr>
              <w:pStyle w:val="ConsPlusNormal"/>
            </w:pPr>
            <w:r>
              <w:t>Минздрав России,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Обеспечение возможности бюджетных учреждений открывать счета в банках в целях размещения средств, поступающих в самостоятельное распоряжение бюджетного учреждения от приносящей доход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Минфин России,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Установление квоты в размере 20 процентов для малого бизнеса в конкурсах на установку и размещение рекламных конструкций (наружной рекламы)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Минэкономразвития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Минстрой России,</w:t>
            </w:r>
          </w:p>
          <w:p w:rsidR="00AE76C5" w:rsidRDefault="00AE76C5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</w:t>
            </w:r>
            <w:r>
              <w:lastRenderedPageBreak/>
              <w:t>составляющие государственную тайну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ФСБ России,</w:t>
            </w:r>
          </w:p>
          <w:p w:rsidR="00AE76C5" w:rsidRDefault="00AE76C5">
            <w:pPr>
              <w:pStyle w:val="ConsPlusNormal"/>
            </w:pPr>
            <w:r>
              <w:t>ФСТЭК России,</w:t>
            </w:r>
          </w:p>
          <w:p w:rsidR="00AE76C5" w:rsidRDefault="00AE76C5">
            <w:pPr>
              <w:pStyle w:val="ConsPlusNormal"/>
            </w:pPr>
            <w:r>
              <w:t>Минфин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Минфин России,</w:t>
            </w:r>
          </w:p>
          <w:p w:rsidR="00AE76C5" w:rsidRDefault="00AE76C5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  <w:p w:rsidR="00AE76C5" w:rsidRDefault="00AE76C5">
            <w:pPr>
              <w:pStyle w:val="ConsPlusNormal"/>
            </w:pPr>
            <w:r>
              <w:t>при участии Банка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Минфин России,</w:t>
            </w:r>
          </w:p>
          <w:p w:rsidR="00AE76C5" w:rsidRDefault="00AE76C5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  <w:p w:rsidR="00AE76C5" w:rsidRDefault="00AE76C5">
            <w:pPr>
              <w:pStyle w:val="ConsPlusNormal"/>
            </w:pPr>
            <w:r>
              <w:t>при участии Банка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Минфин России,</w:t>
            </w:r>
          </w:p>
          <w:p w:rsidR="00AE76C5" w:rsidRDefault="00AE76C5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</w:t>
            </w:r>
            <w:r>
              <w:lastRenderedPageBreak/>
              <w:t>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lastRenderedPageBreak/>
              <w:t xml:space="preserve">доклад в Правительство Российской Федерации (а также в части документов стратегического планирования, затрагивающих деятельность </w:t>
            </w:r>
            <w:r>
              <w:lastRenderedPageBreak/>
              <w:t>финансовых организаций, в Банк России)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Минэкономразвития России,</w:t>
            </w:r>
          </w:p>
          <w:p w:rsidR="00AE76C5" w:rsidRDefault="00AE76C5">
            <w:pPr>
              <w:pStyle w:val="ConsPlusNormal"/>
            </w:pPr>
            <w:r>
              <w:t>Минфин России</w:t>
            </w:r>
          </w:p>
          <w:p w:rsidR="00AE76C5" w:rsidRDefault="00AE76C5">
            <w:pPr>
              <w:pStyle w:val="ConsPlusNormal"/>
            </w:pPr>
            <w:r>
              <w:t>при участии Банка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Установление конкурентного механизма допуска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 и обеспечение возможности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Минфин России,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  <w:p w:rsidR="00AE76C5" w:rsidRDefault="00AE76C5">
            <w:pPr>
              <w:pStyle w:val="ConsPlusNormal"/>
            </w:pPr>
            <w:r>
              <w:t>при участии Банка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 xml:space="preserve">Обеспечение перехода к взаимодействию </w:t>
            </w:r>
            <w:r>
              <w:lastRenderedPageBreak/>
              <w:t>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lastRenderedPageBreak/>
              <w:t xml:space="preserve">постановление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Минстрой России,</w:t>
            </w:r>
          </w:p>
          <w:p w:rsidR="00AE76C5" w:rsidRDefault="00AE76C5">
            <w:pPr>
              <w:pStyle w:val="ConsPlusNormal"/>
            </w:pPr>
            <w:proofErr w:type="spellStart"/>
            <w:r>
              <w:lastRenderedPageBreak/>
              <w:t>Минцифры</w:t>
            </w:r>
            <w:proofErr w:type="spellEnd"/>
            <w:r>
              <w:t xml:space="preserve"> России,</w:t>
            </w:r>
          </w:p>
          <w:p w:rsidR="00AE76C5" w:rsidRDefault="00AE76C5">
            <w:pPr>
              <w:pStyle w:val="ConsPlusNormal"/>
            </w:pPr>
            <w:r>
              <w:t>ФАС России,</w:t>
            </w:r>
          </w:p>
          <w:p w:rsidR="00AE76C5" w:rsidRDefault="00AE76C5">
            <w:pPr>
              <w:pStyle w:val="ConsPlusNormal"/>
            </w:pPr>
            <w:r>
              <w:t>Минэкономразвития России</w:t>
            </w:r>
          </w:p>
        </w:tc>
      </w:tr>
      <w:tr w:rsidR="00AE76C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6C5" w:rsidRDefault="00AE76C5">
            <w:pPr>
              <w:pStyle w:val="ConsPlusNormal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6C5" w:rsidRDefault="00AE76C5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6C5" w:rsidRDefault="00AE76C5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6C5" w:rsidRDefault="00AE76C5">
            <w:pPr>
              <w:pStyle w:val="ConsPlusNormal"/>
            </w:pPr>
            <w:r>
              <w:t>Минстрой России,</w:t>
            </w:r>
          </w:p>
          <w:p w:rsidR="00AE76C5" w:rsidRDefault="00AE76C5">
            <w:pPr>
              <w:pStyle w:val="ConsPlusNormal"/>
            </w:pPr>
            <w:r>
              <w:t>ФАС России</w:t>
            </w:r>
          </w:p>
        </w:tc>
      </w:tr>
    </w:tbl>
    <w:p w:rsidR="00AE76C5" w:rsidRDefault="00AE76C5">
      <w:pPr>
        <w:sectPr w:rsidR="00AE76C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E76C5" w:rsidRDefault="00AE76C5">
      <w:pPr>
        <w:pStyle w:val="ConsPlusNormal"/>
        <w:jc w:val="both"/>
      </w:pPr>
    </w:p>
    <w:p w:rsidR="00AE76C5" w:rsidRDefault="00AE76C5">
      <w:pPr>
        <w:pStyle w:val="ConsPlusNormal"/>
        <w:ind w:firstLine="540"/>
        <w:jc w:val="both"/>
      </w:pPr>
      <w:r>
        <w:t>--------------------------------</w:t>
      </w:r>
    </w:p>
    <w:p w:rsidR="00AE76C5" w:rsidRDefault="00AE76C5">
      <w:pPr>
        <w:pStyle w:val="ConsPlusNormal"/>
        <w:spacing w:before="220"/>
        <w:ind w:firstLine="540"/>
        <w:jc w:val="both"/>
      </w:pPr>
      <w:bookmarkStart w:id="4" w:name="P728"/>
      <w:bookmarkEnd w:id="4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AE76C5" w:rsidRDefault="00AE76C5">
      <w:pPr>
        <w:pStyle w:val="ConsPlusNormal"/>
        <w:jc w:val="both"/>
      </w:pPr>
    </w:p>
    <w:p w:rsidR="00AE76C5" w:rsidRDefault="00AE76C5">
      <w:pPr>
        <w:pStyle w:val="ConsPlusNormal"/>
        <w:jc w:val="both"/>
      </w:pPr>
    </w:p>
    <w:p w:rsidR="00AE76C5" w:rsidRDefault="00AE76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1991" w:rsidRDefault="00AC1991"/>
    <w:sectPr w:rsidR="00AC1991" w:rsidSect="00DA6A5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C5"/>
    <w:rsid w:val="00040459"/>
    <w:rsid w:val="00AC1991"/>
    <w:rsid w:val="00A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7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E7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7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76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76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76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7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7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E7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7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76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76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76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07216090E452DCBD91C7F8EC8B830DAAEFC393C5F521EFA733AB283A33DDBFD569532EFD761AB33A3186A8EOBY2H" TargetMode="External"/><Relationship Id="rId13" Type="http://schemas.openxmlformats.org/officeDocument/2006/relationships/hyperlink" Target="consultantplus://offline/ref=F7507216090E452DCBD91C7F8EC8B830D9AEF13A305A521EFA733AB283A33DDBEF56CD3EEDD57EA333B64E3BC8E638F5AEBFB1A7C673761AO7Y5H" TargetMode="External"/><Relationship Id="rId18" Type="http://schemas.openxmlformats.org/officeDocument/2006/relationships/hyperlink" Target="consultantplus://offline/ref=F7507216090E452DCBD91C7F8EC8B830DBAFFF3A3258521EFA733AB283A33DDBFD569532EFD761AB33A3186A8EOBY2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507216090E452DCBD91C7F8EC8B830DBAEF03F3351521EFA733AB283A33DDBFD569532EFD761AB33A3186A8EOBY2H" TargetMode="External"/><Relationship Id="rId7" Type="http://schemas.openxmlformats.org/officeDocument/2006/relationships/hyperlink" Target="consultantplus://offline/ref=F7507216090E452DCBD91C7F8EC8B830DAAEFC393C5F521EFA733AB283A33DDBFD569532EFD761AB33A3186A8EOBY2H" TargetMode="External"/><Relationship Id="rId12" Type="http://schemas.openxmlformats.org/officeDocument/2006/relationships/hyperlink" Target="consultantplus://offline/ref=F7507216090E452DCBD91C7F8EC8B830D9A6F13D335B521EFA733AB283A33DDBEF56CD3EEDD57FAB3AB64E3BC8E638F5AEBFB1A7C673761AO7Y5H" TargetMode="External"/><Relationship Id="rId17" Type="http://schemas.openxmlformats.org/officeDocument/2006/relationships/hyperlink" Target="consultantplus://offline/ref=F7507216090E452DCBD91C7F8EC8B830DAAEFC393C5F521EFA733AB283A33DDBFD569532EFD761AB33A3186A8EOBY2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507216090E452DCBD91C7F8EC8B830DBA2F839325E521EFA733AB283A33DDBFD569532EFD761AB33A3186A8EOBY2H" TargetMode="External"/><Relationship Id="rId20" Type="http://schemas.openxmlformats.org/officeDocument/2006/relationships/hyperlink" Target="consultantplus://offline/ref=F7507216090E452DCBD91C7F8EC8B830DBAFFC383458521EFA733AB283A33DDBEF56CD3EEDD57FAB36B64E3BC8E638F5AEBFB1A7C673761AO7Y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507216090E452DCBD91C7F8EC8B830DBA3FE37375E521EFA733AB283A33DDBEF56CD3EEDD57FAA35B64E3BC8E638F5AEBFB1A7C673761AO7Y5H" TargetMode="External"/><Relationship Id="rId11" Type="http://schemas.openxmlformats.org/officeDocument/2006/relationships/hyperlink" Target="consultantplus://offline/ref=F7507216090E452DCBD91C7F8EC8B830D9A0FD3834520F14F22A36B084AC62CCE81FC13FEDD57DAA39E94B2ED9BE37F5B2A0B1B8DA7174O1Y9H" TargetMode="External"/><Relationship Id="rId24" Type="http://schemas.openxmlformats.org/officeDocument/2006/relationships/hyperlink" Target="consultantplus://offline/ref=F7507216090E452DCBD91C7F8EC8B830DBAEF137375A521EFA733AB283A33DDBFD569532EFD761AB33A3186A8EOBY2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7507216090E452DCBD91C7F8EC8B830DBA0FA363C5E521EFA733AB283A33DDBEF56CD3EEDD57FAB36B64E3BC8E638F5AEBFB1A7C673761AO7Y5H" TargetMode="External"/><Relationship Id="rId23" Type="http://schemas.openxmlformats.org/officeDocument/2006/relationships/hyperlink" Target="consultantplus://offline/ref=F7507216090E452DCBD91C7F8EC8B830DBAEFA3A315D521EFA733AB283A33DDBFD569532EFD761AB33A3186A8EOBY2H" TargetMode="External"/><Relationship Id="rId10" Type="http://schemas.openxmlformats.org/officeDocument/2006/relationships/hyperlink" Target="consultantplus://offline/ref=F7507216090E452DCBD91C7F8EC8B830DBA4FA3F355B521EFA733AB283A33DDBEF56CD3EEDD57FAB35B64E3BC8E638F5AEBFB1A7C673761AO7Y5H" TargetMode="External"/><Relationship Id="rId19" Type="http://schemas.openxmlformats.org/officeDocument/2006/relationships/hyperlink" Target="consultantplus://offline/ref=F7507216090E452DCBD91C7F8EC8B830DBAFFF3A335E521EFA733AB283A33DDBFD569532EFD761AB33A3186A8EOBY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507216090E452DCBD91C7F8EC8B830DAAEFC393C5F521EFA733AB283A33DDBFD569532EFD761AB33A3186A8EOBY2H" TargetMode="External"/><Relationship Id="rId14" Type="http://schemas.openxmlformats.org/officeDocument/2006/relationships/hyperlink" Target="consultantplus://offline/ref=F7507216090E452DCBD91C7F8EC8B830DAAEFC393C5F521EFA733AB283A33DDBFD569532EFD761AB33A3186A8EOBY2H" TargetMode="External"/><Relationship Id="rId22" Type="http://schemas.openxmlformats.org/officeDocument/2006/relationships/hyperlink" Target="consultantplus://offline/ref=F7507216090E452DCBD91C7F8EC8B830DBAFF03B3C50521EFA733AB283A33DDBEF56CD3EEDD07AAD3BB64E3BC8E638F5AEBFB1A7C673761AO7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9008</Words>
  <Characters>51349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Пахарукова</dc:creator>
  <cp:lastModifiedBy>ZinchenkoVS</cp:lastModifiedBy>
  <cp:revision>2</cp:revision>
  <dcterms:created xsi:type="dcterms:W3CDTF">2022-07-08T06:27:00Z</dcterms:created>
  <dcterms:modified xsi:type="dcterms:W3CDTF">2022-07-08T06:27:00Z</dcterms:modified>
</cp:coreProperties>
</file>